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六十三、霸州市王庄子乡王圪垯村完全小学收支预算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651.48</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651.48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651.48</w:t>
            </w:r>
          </w:p>
        </w:tc>
        <w:tc>
          <w:tcPr>
            <w:tcW w:w="4535" w:type="dxa"/>
            <w:vAlign w:val="center"/>
          </w:tcPr>
          <w:p>
            <w:pPr>
              <w:pStyle w:val="26"/>
            </w:pPr>
            <w:r>
              <w:t>本年支出合计</w:t>
            </w:r>
          </w:p>
        </w:tc>
        <w:tc>
          <w:tcPr>
            <w:tcW w:w="2126" w:type="dxa"/>
            <w:vAlign w:val="center"/>
          </w:tcPr>
          <w:p>
            <w:pPr>
              <w:pStyle w:val="27"/>
            </w:pPr>
            <w:r>
              <w:t>651.48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651.48</w:t>
            </w:r>
          </w:p>
        </w:tc>
        <w:tc>
          <w:tcPr>
            <w:tcW w:w="4535" w:type="dxa"/>
            <w:vAlign w:val="center"/>
          </w:tcPr>
          <w:p>
            <w:pPr>
              <w:pStyle w:val="26"/>
            </w:pPr>
            <w:r>
              <w:t>支出总计</w:t>
            </w:r>
          </w:p>
        </w:tc>
        <w:tc>
          <w:tcPr>
            <w:tcW w:w="2126" w:type="dxa"/>
            <w:vAlign w:val="center"/>
          </w:tcPr>
          <w:p>
            <w:pPr>
              <w:pStyle w:val="27"/>
            </w:pPr>
            <w:r>
              <w:t>651.48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651.48</w:t>
            </w:r>
          </w:p>
        </w:tc>
        <w:tc>
          <w:tcPr>
            <w:tcW w:w="1134" w:type="dxa"/>
            <w:vAlign w:val="center"/>
          </w:tcPr>
          <w:p>
            <w:pPr>
              <w:pStyle w:val="27"/>
            </w:pPr>
            <w:r>
              <w:t>651.48</w:t>
            </w:r>
          </w:p>
        </w:tc>
        <w:tc>
          <w:tcPr>
            <w:tcW w:w="1134" w:type="dxa"/>
            <w:vAlign w:val="center"/>
          </w:tcPr>
          <w:p>
            <w:pPr>
              <w:pStyle w:val="27"/>
            </w:pPr>
            <w:r>
              <w:t>651.48</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651.48</w:t>
            </w:r>
          </w:p>
        </w:tc>
        <w:tc>
          <w:tcPr>
            <w:tcW w:w="1134" w:type="dxa"/>
            <w:vAlign w:val="center"/>
          </w:tcPr>
          <w:p>
            <w:pPr>
              <w:pStyle w:val="23"/>
            </w:pPr>
            <w:r>
              <w:t>651.48</w:t>
            </w:r>
          </w:p>
        </w:tc>
        <w:tc>
          <w:tcPr>
            <w:tcW w:w="1134" w:type="dxa"/>
            <w:vAlign w:val="center"/>
          </w:tcPr>
          <w:p>
            <w:pPr>
              <w:pStyle w:val="23"/>
            </w:pPr>
            <w:r>
              <w:t>651.48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651.48</w:t>
            </w:r>
          </w:p>
        </w:tc>
        <w:tc>
          <w:tcPr>
            <w:tcW w:w="1134" w:type="dxa"/>
            <w:vAlign w:val="center"/>
          </w:tcPr>
          <w:p>
            <w:pPr>
              <w:pStyle w:val="23"/>
            </w:pPr>
            <w:r>
              <w:t>651.48</w:t>
            </w:r>
          </w:p>
        </w:tc>
        <w:tc>
          <w:tcPr>
            <w:tcW w:w="1134" w:type="dxa"/>
            <w:vAlign w:val="center"/>
          </w:tcPr>
          <w:p>
            <w:pPr>
              <w:pStyle w:val="23"/>
            </w:pPr>
            <w:r>
              <w:t>651.48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11.12</w:t>
            </w:r>
          </w:p>
        </w:tc>
        <w:tc>
          <w:tcPr>
            <w:tcW w:w="1134" w:type="dxa"/>
            <w:vAlign w:val="center"/>
          </w:tcPr>
          <w:p>
            <w:pPr>
              <w:pStyle w:val="23"/>
            </w:pPr>
            <w:r>
              <w:t>11.12</w:t>
            </w:r>
          </w:p>
        </w:tc>
        <w:tc>
          <w:tcPr>
            <w:tcW w:w="1134" w:type="dxa"/>
            <w:vAlign w:val="center"/>
          </w:tcPr>
          <w:p>
            <w:pPr>
              <w:pStyle w:val="23"/>
            </w:pPr>
            <w:r>
              <w:t>11.12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640.36</w:t>
            </w:r>
          </w:p>
        </w:tc>
        <w:tc>
          <w:tcPr>
            <w:tcW w:w="1134" w:type="dxa"/>
            <w:vAlign w:val="center"/>
          </w:tcPr>
          <w:p>
            <w:pPr>
              <w:pStyle w:val="23"/>
            </w:pPr>
            <w:r>
              <w:t>640.36</w:t>
            </w:r>
          </w:p>
        </w:tc>
        <w:tc>
          <w:tcPr>
            <w:tcW w:w="1134" w:type="dxa"/>
            <w:vAlign w:val="center"/>
          </w:tcPr>
          <w:p>
            <w:pPr>
              <w:pStyle w:val="23"/>
            </w:pPr>
            <w:r>
              <w:t>640.36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651.48</w:t>
            </w:r>
          </w:p>
        </w:tc>
        <w:tc>
          <w:tcPr>
            <w:tcW w:w="1361" w:type="dxa"/>
            <w:vAlign w:val="center"/>
          </w:tcPr>
          <w:p>
            <w:pPr>
              <w:pStyle w:val="27"/>
            </w:pPr>
            <w:r>
              <w:t>535.52</w:t>
            </w:r>
          </w:p>
        </w:tc>
        <w:tc>
          <w:tcPr>
            <w:tcW w:w="1361" w:type="dxa"/>
            <w:vAlign w:val="center"/>
          </w:tcPr>
          <w:p>
            <w:pPr>
              <w:pStyle w:val="27"/>
            </w:pPr>
            <w:r>
              <w:t>115.96</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651.48</w:t>
            </w:r>
          </w:p>
        </w:tc>
        <w:tc>
          <w:tcPr>
            <w:tcW w:w="1361" w:type="dxa"/>
            <w:vAlign w:val="center"/>
          </w:tcPr>
          <w:p>
            <w:pPr>
              <w:pStyle w:val="23"/>
            </w:pPr>
            <w:r>
              <w:t>535.52</w:t>
            </w:r>
          </w:p>
        </w:tc>
        <w:tc>
          <w:tcPr>
            <w:tcW w:w="1361" w:type="dxa"/>
            <w:vAlign w:val="center"/>
          </w:tcPr>
          <w:p>
            <w:pPr>
              <w:pStyle w:val="23"/>
            </w:pPr>
            <w:r>
              <w:t>115.96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651.48</w:t>
            </w:r>
          </w:p>
        </w:tc>
        <w:tc>
          <w:tcPr>
            <w:tcW w:w="1361" w:type="dxa"/>
            <w:vAlign w:val="center"/>
          </w:tcPr>
          <w:p>
            <w:pPr>
              <w:pStyle w:val="23"/>
            </w:pPr>
            <w:r>
              <w:t>535.52</w:t>
            </w:r>
          </w:p>
        </w:tc>
        <w:tc>
          <w:tcPr>
            <w:tcW w:w="1361" w:type="dxa"/>
            <w:vAlign w:val="center"/>
          </w:tcPr>
          <w:p>
            <w:pPr>
              <w:pStyle w:val="23"/>
            </w:pPr>
            <w:r>
              <w:t>115.96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11.12</w:t>
            </w:r>
          </w:p>
        </w:tc>
        <w:tc>
          <w:tcPr>
            <w:tcW w:w="1361" w:type="dxa"/>
            <w:vAlign w:val="center"/>
          </w:tcPr>
          <w:p>
            <w:pPr>
              <w:pStyle w:val="23"/>
            </w:pPr>
            <w:r>
              <w:t>1.32</w:t>
            </w:r>
          </w:p>
        </w:tc>
        <w:tc>
          <w:tcPr>
            <w:tcW w:w="1361" w:type="dxa"/>
            <w:vAlign w:val="center"/>
          </w:tcPr>
          <w:p>
            <w:pPr>
              <w:pStyle w:val="23"/>
            </w:pPr>
            <w:r>
              <w:t>9.80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640.36</w:t>
            </w:r>
          </w:p>
        </w:tc>
        <w:tc>
          <w:tcPr>
            <w:tcW w:w="1361" w:type="dxa"/>
            <w:vAlign w:val="center"/>
          </w:tcPr>
          <w:p>
            <w:pPr>
              <w:pStyle w:val="23"/>
            </w:pPr>
            <w:r>
              <w:t>534.20</w:t>
            </w:r>
          </w:p>
        </w:tc>
        <w:tc>
          <w:tcPr>
            <w:tcW w:w="1361" w:type="dxa"/>
            <w:vAlign w:val="center"/>
          </w:tcPr>
          <w:p>
            <w:pPr>
              <w:pStyle w:val="23"/>
            </w:pPr>
            <w:r>
              <w:t>106.16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651.48</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651.48</w:t>
            </w:r>
          </w:p>
        </w:tc>
        <w:tc>
          <w:tcPr>
            <w:tcW w:w="1474" w:type="dxa"/>
            <w:vAlign w:val="center"/>
          </w:tcPr>
          <w:p>
            <w:pPr>
              <w:pStyle w:val="23"/>
            </w:pPr>
            <w:r>
              <w:t>651.48</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651.48</w:t>
            </w:r>
          </w:p>
        </w:tc>
        <w:tc>
          <w:tcPr>
            <w:tcW w:w="3402" w:type="dxa"/>
            <w:vAlign w:val="center"/>
          </w:tcPr>
          <w:p>
            <w:pPr>
              <w:pStyle w:val="26"/>
            </w:pPr>
            <w:r>
              <w:t>本年支出合计</w:t>
            </w:r>
          </w:p>
        </w:tc>
        <w:tc>
          <w:tcPr>
            <w:tcW w:w="1474" w:type="dxa"/>
            <w:vAlign w:val="center"/>
          </w:tcPr>
          <w:p>
            <w:pPr>
              <w:pStyle w:val="27"/>
            </w:pPr>
            <w:r>
              <w:t>651.48</w:t>
            </w:r>
          </w:p>
        </w:tc>
        <w:tc>
          <w:tcPr>
            <w:tcW w:w="1474" w:type="dxa"/>
            <w:vAlign w:val="center"/>
          </w:tcPr>
          <w:p>
            <w:pPr>
              <w:pStyle w:val="27"/>
            </w:pPr>
            <w:r>
              <w:t>651.48</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651.48</w:t>
            </w:r>
          </w:p>
        </w:tc>
        <w:tc>
          <w:tcPr>
            <w:tcW w:w="3402" w:type="dxa"/>
            <w:vAlign w:val="center"/>
          </w:tcPr>
          <w:p>
            <w:pPr>
              <w:pStyle w:val="26"/>
            </w:pPr>
            <w:r>
              <w:t>支出总计</w:t>
            </w:r>
          </w:p>
        </w:tc>
        <w:tc>
          <w:tcPr>
            <w:tcW w:w="1474" w:type="dxa"/>
            <w:vAlign w:val="center"/>
          </w:tcPr>
          <w:p>
            <w:pPr>
              <w:pStyle w:val="27"/>
            </w:pPr>
            <w:r>
              <w:t>651.48</w:t>
            </w:r>
          </w:p>
        </w:tc>
        <w:tc>
          <w:tcPr>
            <w:tcW w:w="1474" w:type="dxa"/>
            <w:vAlign w:val="center"/>
          </w:tcPr>
          <w:p>
            <w:pPr>
              <w:pStyle w:val="27"/>
            </w:pPr>
            <w:r>
              <w:t>651.48</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651.48</w:t>
            </w:r>
          </w:p>
        </w:tc>
        <w:tc>
          <w:tcPr>
            <w:tcW w:w="2551" w:type="dxa"/>
            <w:vAlign w:val="center"/>
          </w:tcPr>
          <w:p>
            <w:pPr>
              <w:pStyle w:val="27"/>
            </w:pPr>
            <w:r>
              <w:t>535.52</w:t>
            </w:r>
          </w:p>
        </w:tc>
        <w:tc>
          <w:tcPr>
            <w:tcW w:w="2551" w:type="dxa"/>
            <w:vAlign w:val="center"/>
          </w:tcPr>
          <w:p>
            <w:pPr>
              <w:pStyle w:val="27"/>
            </w:pPr>
            <w:r>
              <w:t>115.96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651.48</w:t>
            </w:r>
          </w:p>
        </w:tc>
        <w:tc>
          <w:tcPr>
            <w:tcW w:w="2551" w:type="dxa"/>
            <w:vAlign w:val="center"/>
          </w:tcPr>
          <w:p>
            <w:pPr>
              <w:pStyle w:val="23"/>
            </w:pPr>
            <w:r>
              <w:t>535.52</w:t>
            </w:r>
          </w:p>
        </w:tc>
        <w:tc>
          <w:tcPr>
            <w:tcW w:w="2551" w:type="dxa"/>
            <w:vAlign w:val="center"/>
          </w:tcPr>
          <w:p>
            <w:pPr>
              <w:pStyle w:val="23"/>
            </w:pPr>
            <w:r>
              <w:t>115.96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651.48</w:t>
            </w:r>
          </w:p>
        </w:tc>
        <w:tc>
          <w:tcPr>
            <w:tcW w:w="2551" w:type="dxa"/>
            <w:vAlign w:val="center"/>
          </w:tcPr>
          <w:p>
            <w:pPr>
              <w:pStyle w:val="23"/>
            </w:pPr>
            <w:r>
              <w:t>535.52</w:t>
            </w:r>
          </w:p>
        </w:tc>
        <w:tc>
          <w:tcPr>
            <w:tcW w:w="2551" w:type="dxa"/>
            <w:vAlign w:val="center"/>
          </w:tcPr>
          <w:p>
            <w:pPr>
              <w:pStyle w:val="23"/>
            </w:pPr>
            <w:r>
              <w:t>115.96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11.12</w:t>
            </w:r>
          </w:p>
        </w:tc>
        <w:tc>
          <w:tcPr>
            <w:tcW w:w="2551" w:type="dxa"/>
            <w:vAlign w:val="center"/>
          </w:tcPr>
          <w:p>
            <w:pPr>
              <w:pStyle w:val="23"/>
            </w:pPr>
            <w:r>
              <w:t>1.32</w:t>
            </w:r>
          </w:p>
        </w:tc>
        <w:tc>
          <w:tcPr>
            <w:tcW w:w="2551" w:type="dxa"/>
            <w:vAlign w:val="center"/>
          </w:tcPr>
          <w:p>
            <w:pPr>
              <w:pStyle w:val="23"/>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640.36</w:t>
            </w:r>
          </w:p>
        </w:tc>
        <w:tc>
          <w:tcPr>
            <w:tcW w:w="2551" w:type="dxa"/>
            <w:vAlign w:val="center"/>
          </w:tcPr>
          <w:p>
            <w:pPr>
              <w:pStyle w:val="23"/>
            </w:pPr>
            <w:r>
              <w:t>534.20</w:t>
            </w:r>
          </w:p>
        </w:tc>
        <w:tc>
          <w:tcPr>
            <w:tcW w:w="2551" w:type="dxa"/>
            <w:vAlign w:val="center"/>
          </w:tcPr>
          <w:p>
            <w:pPr>
              <w:pStyle w:val="23"/>
            </w:pPr>
            <w:r>
              <w:t>106.16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535.52</w:t>
            </w:r>
          </w:p>
        </w:tc>
        <w:tc>
          <w:tcPr>
            <w:tcW w:w="2551" w:type="dxa"/>
            <w:vAlign w:val="center"/>
          </w:tcPr>
          <w:p>
            <w:pPr>
              <w:pStyle w:val="27"/>
            </w:pPr>
            <w:r>
              <w:t>525.17</w:t>
            </w:r>
          </w:p>
        </w:tc>
        <w:tc>
          <w:tcPr>
            <w:tcW w:w="2551" w:type="dxa"/>
            <w:vAlign w:val="center"/>
          </w:tcPr>
          <w:p>
            <w:pPr>
              <w:pStyle w:val="27"/>
            </w:pPr>
            <w:r>
              <w:t>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468.37</w:t>
            </w:r>
          </w:p>
        </w:tc>
        <w:tc>
          <w:tcPr>
            <w:tcW w:w="2551" w:type="dxa"/>
            <w:vAlign w:val="center"/>
          </w:tcPr>
          <w:p>
            <w:pPr>
              <w:pStyle w:val="23"/>
            </w:pPr>
            <w:r>
              <w:t>468.37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119.79</w:t>
            </w:r>
          </w:p>
        </w:tc>
        <w:tc>
          <w:tcPr>
            <w:tcW w:w="2551" w:type="dxa"/>
            <w:vAlign w:val="center"/>
          </w:tcPr>
          <w:p>
            <w:pPr>
              <w:pStyle w:val="23"/>
            </w:pPr>
            <w:r>
              <w:t>119.79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32.58</w:t>
            </w:r>
          </w:p>
        </w:tc>
        <w:tc>
          <w:tcPr>
            <w:tcW w:w="2551" w:type="dxa"/>
            <w:vAlign w:val="center"/>
          </w:tcPr>
          <w:p>
            <w:pPr>
              <w:pStyle w:val="23"/>
            </w:pPr>
            <w:r>
              <w:t>32.58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162.72</w:t>
            </w:r>
          </w:p>
        </w:tc>
        <w:tc>
          <w:tcPr>
            <w:tcW w:w="2551" w:type="dxa"/>
            <w:vAlign w:val="center"/>
          </w:tcPr>
          <w:p>
            <w:pPr>
              <w:pStyle w:val="23"/>
            </w:pPr>
            <w:r>
              <w:t>162.72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33.64</w:t>
            </w:r>
          </w:p>
        </w:tc>
        <w:tc>
          <w:tcPr>
            <w:tcW w:w="2551" w:type="dxa"/>
            <w:vAlign w:val="center"/>
          </w:tcPr>
          <w:p>
            <w:pPr>
              <w:pStyle w:val="23"/>
            </w:pPr>
            <w:r>
              <w:t>33.64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12.63</w:t>
            </w:r>
          </w:p>
        </w:tc>
        <w:tc>
          <w:tcPr>
            <w:tcW w:w="2551" w:type="dxa"/>
            <w:vAlign w:val="center"/>
          </w:tcPr>
          <w:p>
            <w:pPr>
              <w:pStyle w:val="23"/>
            </w:pPr>
            <w:r>
              <w:t>12.63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2.96</w:t>
            </w:r>
          </w:p>
        </w:tc>
        <w:tc>
          <w:tcPr>
            <w:tcW w:w="2551" w:type="dxa"/>
            <w:vAlign w:val="center"/>
          </w:tcPr>
          <w:p>
            <w:pPr>
              <w:pStyle w:val="23"/>
            </w:pPr>
            <w:r>
              <w:t>2.96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25.25</w:t>
            </w:r>
          </w:p>
        </w:tc>
        <w:tc>
          <w:tcPr>
            <w:tcW w:w="2551" w:type="dxa"/>
            <w:vAlign w:val="center"/>
          </w:tcPr>
          <w:p>
            <w:pPr>
              <w:pStyle w:val="23"/>
            </w:pPr>
            <w:r>
              <w:t>25.25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78.80</w:t>
            </w:r>
          </w:p>
        </w:tc>
        <w:tc>
          <w:tcPr>
            <w:tcW w:w="2551" w:type="dxa"/>
            <w:vAlign w:val="center"/>
          </w:tcPr>
          <w:p>
            <w:pPr>
              <w:pStyle w:val="23"/>
            </w:pPr>
            <w:r>
              <w:t>78.80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10.35</w:t>
            </w:r>
          </w:p>
        </w:tc>
        <w:tc>
          <w:tcPr>
            <w:tcW w:w="2551" w:type="dxa"/>
            <w:vAlign w:val="center"/>
          </w:tcPr>
          <w:p>
            <w:pPr>
              <w:pStyle w:val="23"/>
            </w:pPr>
          </w:p>
        </w:tc>
        <w:tc>
          <w:tcPr>
            <w:tcW w:w="2551" w:type="dxa"/>
            <w:vAlign w:val="center"/>
          </w:tcPr>
          <w:p>
            <w:pPr>
              <w:pStyle w:val="23"/>
            </w:pPr>
            <w:r>
              <w:t>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1.32</w:t>
            </w:r>
          </w:p>
        </w:tc>
        <w:tc>
          <w:tcPr>
            <w:tcW w:w="2551" w:type="dxa"/>
            <w:vAlign w:val="center"/>
          </w:tcPr>
          <w:p>
            <w:pPr>
              <w:pStyle w:val="23"/>
            </w:pPr>
          </w:p>
        </w:tc>
        <w:tc>
          <w:tcPr>
            <w:tcW w:w="2551" w:type="dxa"/>
            <w:vAlign w:val="center"/>
          </w:tcPr>
          <w:p>
            <w:pPr>
              <w:pStyle w:val="23"/>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5.84</w:t>
            </w:r>
          </w:p>
        </w:tc>
        <w:tc>
          <w:tcPr>
            <w:tcW w:w="2551" w:type="dxa"/>
            <w:vAlign w:val="center"/>
          </w:tcPr>
          <w:p>
            <w:pPr>
              <w:pStyle w:val="23"/>
            </w:pPr>
          </w:p>
        </w:tc>
        <w:tc>
          <w:tcPr>
            <w:tcW w:w="2551" w:type="dxa"/>
            <w:vAlign w:val="center"/>
          </w:tcPr>
          <w:p>
            <w:pPr>
              <w:pStyle w:val="23"/>
            </w:pPr>
            <w:r>
              <w:t>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3.19</w:t>
            </w:r>
          </w:p>
        </w:tc>
        <w:tc>
          <w:tcPr>
            <w:tcW w:w="2551" w:type="dxa"/>
            <w:vAlign w:val="center"/>
          </w:tcPr>
          <w:p>
            <w:pPr>
              <w:pStyle w:val="23"/>
            </w:pPr>
          </w:p>
        </w:tc>
        <w:tc>
          <w:tcPr>
            <w:tcW w:w="2551" w:type="dxa"/>
            <w:vAlign w:val="center"/>
          </w:tcPr>
          <w:p>
            <w:pPr>
              <w:pStyle w:val="23"/>
            </w:pPr>
            <w: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56.80</w:t>
            </w:r>
          </w:p>
        </w:tc>
        <w:tc>
          <w:tcPr>
            <w:tcW w:w="2551" w:type="dxa"/>
            <w:vAlign w:val="center"/>
          </w:tcPr>
          <w:p>
            <w:pPr>
              <w:pStyle w:val="23"/>
            </w:pPr>
            <w:r>
              <w:t>56.80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30.35</w:t>
            </w:r>
          </w:p>
        </w:tc>
        <w:tc>
          <w:tcPr>
            <w:tcW w:w="2551" w:type="dxa"/>
            <w:vAlign w:val="center"/>
          </w:tcPr>
          <w:p>
            <w:pPr>
              <w:pStyle w:val="23"/>
            </w:pPr>
            <w:r>
              <w:t>30.35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26.43</w:t>
            </w:r>
          </w:p>
        </w:tc>
        <w:tc>
          <w:tcPr>
            <w:tcW w:w="2551" w:type="dxa"/>
            <w:vAlign w:val="center"/>
          </w:tcPr>
          <w:p>
            <w:pPr>
              <w:pStyle w:val="23"/>
            </w:pPr>
            <w:r>
              <w:t>26.43</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0.02</w:t>
            </w:r>
          </w:p>
        </w:tc>
        <w:tc>
          <w:tcPr>
            <w:tcW w:w="2551" w:type="dxa"/>
            <w:vAlign w:val="center"/>
          </w:tcPr>
          <w:p>
            <w:pPr>
              <w:pStyle w:val="23"/>
            </w:pPr>
            <w:r>
              <w:t>0.02</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rPr>
                <w:lang w:eastAsia="zh-CN"/>
              </w:rPr>
            </w:pPr>
            <w:r>
              <w:rPr>
                <w:rFonts w:hint="eastAsia"/>
                <w:lang w:eastAsia="zh-CN"/>
              </w:rPr>
              <w:t>0</w:t>
            </w:r>
          </w:p>
        </w:tc>
        <w:tc>
          <w:tcPr>
            <w:tcW w:w="2381" w:type="dxa"/>
            <w:vAlign w:val="center"/>
          </w:tcPr>
          <w:p>
            <w:pPr>
              <w:pStyle w:val="27"/>
              <w:rPr>
                <w:lang w:eastAsia="zh-CN"/>
              </w:rPr>
            </w:pPr>
            <w:r>
              <w:rPr>
                <w:rFonts w:hint="eastAsia"/>
                <w:lang w:eastAsia="zh-CN"/>
              </w:rPr>
              <w:t>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2</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3</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4</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5</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6</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7</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8</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2" w:name="_GoBack"/>
      <w:bookmarkEnd w:id="2"/>
    </w:p>
    <w:p>
      <w:pPr>
        <w:jc w:val="center"/>
        <w:outlineLvl w:val="4"/>
      </w:pPr>
      <w:r>
        <w:rPr>
          <w:rFonts w:ascii="方正小标宋_GBK" w:hAnsi="方正小标宋_GBK" w:eastAsia="方正小标宋_GBK" w:cs="方正小标宋_GBK"/>
          <w:color w:val="000000"/>
          <w:sz w:val="44"/>
        </w:rPr>
        <w:t>霸州市王庄子乡王圪垯村完全小学2022年单位预算信息公开情况说明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按照《预算法》、《地方预决算公开操作规程》和《关于进一步推进预算公开工作的实施意见》规定，现将霸州市王庄子乡王圪垯村完全小学2022年单位预算公开如下：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ascii="楷体_GB2312" w:hAnsi="Times New Roman" w:eastAsia="楷体_GB2312" w:cs="Times New Roman"/>
          <w:sz w:val="32"/>
          <w:szCs w:val="32"/>
        </w:rPr>
      </w:pPr>
    </w:p>
    <w:p>
      <w:pPr>
        <w:ind w:firstLine="64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实施小学义务教育，促进基础教育发展。小学学历教育</w:t>
      </w:r>
    </w:p>
    <w:p>
      <w:pPr>
        <w:ind w:firstLine="640"/>
        <w:rPr>
          <w:rFonts w:ascii="方正楷体_GBK" w:hAnsi="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霸州市王庄子乡王圪垯村完全小学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反映本单位当年全部收入。20</w:t>
      </w:r>
      <w:r>
        <w:rPr>
          <w:rFonts w:ascii="Times New Roman" w:hAnsi="Times New Roman" w:eastAsia="方正仿宋_GBK" w:cs="Times New Roman"/>
          <w:color w:val="000000"/>
          <w:kern w:val="0"/>
          <w:sz w:val="28"/>
          <w:szCs w:val="24"/>
          <w:lang w:eastAsia="uk-UA"/>
        </w:rPr>
        <w:t>22</w:t>
      </w:r>
      <w:r>
        <w:rPr>
          <w:rFonts w:hint="eastAsia" w:ascii="Times New Roman" w:hAnsi="Times New Roman" w:eastAsia="方正仿宋_GBK" w:cs="Times New Roman"/>
          <w:color w:val="000000"/>
          <w:kern w:val="0"/>
          <w:sz w:val="28"/>
          <w:szCs w:val="24"/>
          <w:lang w:eastAsia="uk-UA"/>
        </w:rPr>
        <w:t>年预算收入</w:t>
      </w:r>
      <w:r>
        <w:rPr>
          <w:rFonts w:ascii="Times New Roman" w:hAnsi="Times New Roman" w:eastAsia="方正仿宋_GBK" w:cs="Times New Roman"/>
          <w:color w:val="000000"/>
          <w:kern w:val="0"/>
          <w:sz w:val="28"/>
          <w:szCs w:val="24"/>
          <w:lang w:eastAsia="uk-UA"/>
        </w:rPr>
        <w:t>651.48</w:t>
      </w:r>
      <w:r>
        <w:rPr>
          <w:rFonts w:hint="eastAsia" w:ascii="Times New Roman" w:hAnsi="Times New Roman" w:eastAsia="方正仿宋_GBK" w:cs="Times New Roman"/>
          <w:color w:val="000000"/>
          <w:kern w:val="0"/>
          <w:sz w:val="28"/>
          <w:szCs w:val="24"/>
          <w:lang w:eastAsia="uk-UA"/>
        </w:rPr>
        <w:t>万元，其中：一般公共预算收入</w:t>
      </w:r>
      <w:r>
        <w:rPr>
          <w:rFonts w:ascii="Times New Roman" w:hAnsi="Times New Roman" w:eastAsia="方正仿宋_GBK" w:cs="Times New Roman"/>
          <w:color w:val="000000"/>
          <w:kern w:val="0"/>
          <w:sz w:val="28"/>
          <w:szCs w:val="24"/>
          <w:lang w:eastAsia="uk-UA"/>
        </w:rPr>
        <w:t>651.48</w:t>
      </w:r>
      <w:r>
        <w:rPr>
          <w:rFonts w:hint="eastAsia" w:ascii="Times New Roman" w:hAnsi="Times New Roman" w:eastAsia="方正仿宋_GBK" w:cs="Times New Roman"/>
          <w:color w:val="000000"/>
          <w:kern w:val="0"/>
          <w:sz w:val="28"/>
          <w:szCs w:val="24"/>
          <w:lang w:eastAsia="uk-UA"/>
        </w:rPr>
        <w:t>万元，政府性基金预算收入0</w:t>
      </w:r>
      <w:r>
        <w:rPr>
          <w:rFonts w:ascii="Times New Roman" w:hAnsi="Times New Roman" w:eastAsia="方正仿宋_GBK" w:cs="Times New Roman"/>
          <w:color w:val="000000"/>
          <w:kern w:val="0"/>
          <w:sz w:val="28"/>
          <w:szCs w:val="24"/>
          <w:lang w:eastAsia="uk-UA"/>
        </w:rPr>
        <w:t>万元</w:t>
      </w:r>
      <w:r>
        <w:rPr>
          <w:rFonts w:hint="eastAsia" w:ascii="Times New Roman" w:hAnsi="Times New Roman" w:eastAsia="方正仿宋_GBK" w:cs="Times New Roman"/>
          <w:color w:val="000000"/>
          <w:kern w:val="0"/>
          <w:sz w:val="28"/>
          <w:szCs w:val="24"/>
          <w:lang w:eastAsia="uk-UA"/>
        </w:rPr>
        <w:t>，国有资本经营</w:t>
      </w:r>
      <w:r>
        <w:rPr>
          <w:rFonts w:ascii="Times New Roman" w:hAnsi="Times New Roman" w:eastAsia="方正仿宋_GBK" w:cs="Times New Roman"/>
          <w:color w:val="000000"/>
          <w:kern w:val="0"/>
          <w:sz w:val="28"/>
          <w:szCs w:val="24"/>
          <w:lang w:eastAsia="uk-UA"/>
        </w:rPr>
        <w:t>预算收入</w:t>
      </w:r>
      <w:r>
        <w:rPr>
          <w:rFonts w:hint="eastAsia" w:ascii="Times New Roman" w:hAnsi="Times New Roman" w:eastAsia="方正仿宋_GBK" w:cs="Times New Roman"/>
          <w:color w:val="000000"/>
          <w:kern w:val="0"/>
          <w:sz w:val="28"/>
          <w:szCs w:val="24"/>
          <w:lang w:eastAsia="uk-UA"/>
        </w:rPr>
        <w:t>0</w:t>
      </w:r>
      <w:r>
        <w:rPr>
          <w:rFonts w:ascii="Times New Roman" w:hAnsi="Times New Roman" w:eastAsia="方正仿宋_GBK" w:cs="Times New Roman"/>
          <w:color w:val="000000"/>
          <w:kern w:val="0"/>
          <w:sz w:val="28"/>
          <w:szCs w:val="24"/>
          <w:lang w:eastAsia="uk-UA"/>
        </w:rPr>
        <w:t>万元</w:t>
      </w:r>
      <w:r>
        <w:rPr>
          <w:rFonts w:hint="eastAsia" w:ascii="Times New Roman" w:hAnsi="Times New Roman" w:eastAsia="方正仿宋_GBK" w:cs="Times New Roman"/>
          <w:color w:val="000000"/>
          <w:kern w:val="0"/>
          <w:sz w:val="28"/>
          <w:szCs w:val="24"/>
          <w:lang w:eastAsia="uk-UA"/>
        </w:rPr>
        <w:t>，财政专户管理资金收入0万元，</w:t>
      </w:r>
      <w:r>
        <w:rPr>
          <w:rFonts w:ascii="Times New Roman" w:hAnsi="Times New Roman" w:eastAsia="方正仿宋_GBK" w:cs="Times New Roman"/>
          <w:color w:val="000000"/>
          <w:kern w:val="0"/>
          <w:sz w:val="28"/>
          <w:szCs w:val="24"/>
          <w:lang w:eastAsia="uk-UA"/>
        </w:rPr>
        <w:t>上级补助收入</w:t>
      </w:r>
      <w:r>
        <w:rPr>
          <w:rFonts w:hint="eastAsia" w:ascii="Times New Roman" w:hAnsi="Times New Roman" w:eastAsia="方正仿宋_GBK" w:cs="Times New Roman"/>
          <w:color w:val="000000"/>
          <w:kern w:val="0"/>
          <w:sz w:val="28"/>
          <w:szCs w:val="24"/>
          <w:lang w:eastAsia="uk-UA"/>
        </w:rPr>
        <w:t>0</w:t>
      </w:r>
      <w:r>
        <w:rPr>
          <w:rFonts w:ascii="Times New Roman" w:hAnsi="Times New Roman" w:eastAsia="方正仿宋_GBK" w:cs="Times New Roman"/>
          <w:color w:val="000000"/>
          <w:kern w:val="0"/>
          <w:sz w:val="28"/>
          <w:szCs w:val="24"/>
          <w:lang w:eastAsia="uk-UA"/>
        </w:rPr>
        <w:t>万元，</w:t>
      </w:r>
      <w:r>
        <w:rPr>
          <w:rFonts w:hint="eastAsia" w:ascii="Times New Roman" w:hAnsi="Times New Roman" w:eastAsia="方正仿宋_GBK" w:cs="Times New Roman"/>
          <w:color w:val="000000"/>
          <w:kern w:val="0"/>
          <w:sz w:val="28"/>
          <w:szCs w:val="24"/>
          <w:lang w:eastAsia="uk-UA"/>
        </w:rPr>
        <w:t>事业收入0万元，经营</w:t>
      </w:r>
      <w:r>
        <w:rPr>
          <w:rFonts w:ascii="Times New Roman" w:hAnsi="Times New Roman" w:eastAsia="方正仿宋_GBK" w:cs="Times New Roman"/>
          <w:color w:val="000000"/>
          <w:kern w:val="0"/>
          <w:sz w:val="28"/>
          <w:szCs w:val="24"/>
          <w:lang w:eastAsia="uk-UA"/>
        </w:rPr>
        <w:t>收入</w:t>
      </w:r>
      <w:r>
        <w:rPr>
          <w:rFonts w:hint="eastAsia" w:ascii="Times New Roman" w:hAnsi="Times New Roman" w:eastAsia="方正仿宋_GBK" w:cs="Times New Roman"/>
          <w:color w:val="000000"/>
          <w:kern w:val="0"/>
          <w:sz w:val="28"/>
          <w:szCs w:val="24"/>
          <w:lang w:eastAsia="uk-UA"/>
        </w:rPr>
        <w:t>0万元，附属单位上缴</w:t>
      </w:r>
      <w:r>
        <w:rPr>
          <w:rFonts w:ascii="Times New Roman" w:hAnsi="Times New Roman" w:eastAsia="方正仿宋_GBK" w:cs="Times New Roman"/>
          <w:color w:val="000000"/>
          <w:kern w:val="0"/>
          <w:sz w:val="28"/>
          <w:szCs w:val="24"/>
          <w:lang w:eastAsia="uk-UA"/>
        </w:rPr>
        <w:t>收入</w:t>
      </w:r>
      <w:r>
        <w:rPr>
          <w:rFonts w:hint="eastAsia" w:ascii="Times New Roman" w:hAnsi="Times New Roman" w:eastAsia="方正仿宋_GBK" w:cs="Times New Roman"/>
          <w:color w:val="000000"/>
          <w:kern w:val="0"/>
          <w:sz w:val="28"/>
          <w:szCs w:val="24"/>
          <w:lang w:eastAsia="uk-UA"/>
        </w:rPr>
        <w:t>0</w:t>
      </w:r>
      <w:r>
        <w:rPr>
          <w:rFonts w:ascii="Times New Roman" w:hAnsi="Times New Roman" w:eastAsia="方正仿宋_GBK" w:cs="Times New Roman"/>
          <w:color w:val="000000"/>
          <w:kern w:val="0"/>
          <w:sz w:val="28"/>
          <w:szCs w:val="24"/>
          <w:lang w:eastAsia="uk-UA"/>
        </w:rPr>
        <w:t>万元，</w:t>
      </w:r>
      <w:r>
        <w:rPr>
          <w:rFonts w:hint="eastAsia" w:ascii="Times New Roman" w:hAnsi="Times New Roman" w:eastAsia="方正仿宋_GBK" w:cs="Times New Roman"/>
          <w:color w:val="000000"/>
          <w:kern w:val="0"/>
          <w:sz w:val="28"/>
          <w:szCs w:val="24"/>
          <w:lang w:eastAsia="uk-UA"/>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收支预算总表支出栏、基本支出表、项目支出表按经济分类和支出功能分类科目编制，反映霸州市王庄子乡王圪垯村完全小学20</w:t>
      </w:r>
      <w:r>
        <w:rPr>
          <w:rFonts w:ascii="Times New Roman" w:hAnsi="Times New Roman" w:eastAsia="方正仿宋_GBK" w:cs="Times New Roman"/>
          <w:color w:val="000000"/>
          <w:kern w:val="0"/>
          <w:sz w:val="28"/>
          <w:szCs w:val="24"/>
          <w:lang w:eastAsia="uk-UA"/>
        </w:rPr>
        <w:t>22</w:t>
      </w:r>
      <w:r>
        <w:rPr>
          <w:rFonts w:hint="eastAsia" w:ascii="Times New Roman" w:hAnsi="Times New Roman" w:eastAsia="方正仿宋_GBK" w:cs="Times New Roman"/>
          <w:color w:val="000000"/>
          <w:kern w:val="0"/>
          <w:sz w:val="28"/>
          <w:szCs w:val="24"/>
          <w:lang w:eastAsia="uk-UA"/>
        </w:rPr>
        <w:t>年度单位预算中支出预算的总体情况。20</w:t>
      </w:r>
      <w:r>
        <w:rPr>
          <w:rFonts w:ascii="Times New Roman" w:hAnsi="Times New Roman" w:eastAsia="方正仿宋_GBK" w:cs="Times New Roman"/>
          <w:color w:val="000000"/>
          <w:kern w:val="0"/>
          <w:sz w:val="28"/>
          <w:szCs w:val="24"/>
          <w:lang w:eastAsia="uk-UA"/>
        </w:rPr>
        <w:t>22</w:t>
      </w:r>
      <w:r>
        <w:rPr>
          <w:rFonts w:hint="eastAsia" w:ascii="Times New Roman" w:hAnsi="Times New Roman" w:eastAsia="方正仿宋_GBK" w:cs="Times New Roman"/>
          <w:color w:val="000000"/>
          <w:kern w:val="0"/>
          <w:sz w:val="28"/>
          <w:szCs w:val="24"/>
          <w:lang w:eastAsia="uk-UA"/>
        </w:rPr>
        <w:t>年本单位支出预算</w:t>
      </w:r>
      <w:r>
        <w:rPr>
          <w:rFonts w:ascii="Times New Roman" w:hAnsi="Times New Roman" w:eastAsia="方正仿宋_GBK" w:cs="Times New Roman"/>
          <w:color w:val="000000"/>
          <w:kern w:val="0"/>
          <w:sz w:val="28"/>
          <w:szCs w:val="24"/>
          <w:lang w:eastAsia="uk-UA"/>
        </w:rPr>
        <w:t>651.48</w:t>
      </w:r>
      <w:r>
        <w:rPr>
          <w:rFonts w:hint="eastAsia" w:ascii="Times New Roman" w:hAnsi="Times New Roman" w:eastAsia="方正仿宋_GBK" w:cs="Times New Roman"/>
          <w:color w:val="000000"/>
          <w:kern w:val="0"/>
          <w:sz w:val="28"/>
          <w:szCs w:val="24"/>
          <w:lang w:eastAsia="uk-UA"/>
        </w:rPr>
        <w:t>万元，其中：基本支出</w:t>
      </w:r>
      <w:r>
        <w:rPr>
          <w:rFonts w:ascii="Times New Roman" w:hAnsi="Times New Roman" w:eastAsia="方正仿宋_GBK" w:cs="Times New Roman"/>
          <w:color w:val="000000"/>
          <w:kern w:val="0"/>
          <w:sz w:val="28"/>
          <w:szCs w:val="24"/>
          <w:lang w:eastAsia="uk-UA"/>
        </w:rPr>
        <w:t>535.52</w:t>
      </w:r>
      <w:r>
        <w:rPr>
          <w:rFonts w:hint="eastAsia" w:ascii="Times New Roman" w:hAnsi="Times New Roman" w:eastAsia="方正仿宋_GBK" w:cs="Times New Roman"/>
          <w:color w:val="000000"/>
          <w:kern w:val="0"/>
          <w:sz w:val="28"/>
          <w:szCs w:val="24"/>
          <w:lang w:eastAsia="uk-UA"/>
        </w:rPr>
        <w:t>万元，包括：人员经费</w:t>
      </w:r>
      <w:r>
        <w:rPr>
          <w:rFonts w:ascii="Times New Roman" w:hAnsi="Times New Roman" w:eastAsia="方正仿宋_GBK" w:cs="Times New Roman"/>
          <w:color w:val="000000"/>
          <w:kern w:val="0"/>
          <w:sz w:val="28"/>
          <w:szCs w:val="24"/>
          <w:lang w:eastAsia="uk-UA"/>
        </w:rPr>
        <w:t>525.17万元</w:t>
      </w:r>
      <w:r>
        <w:rPr>
          <w:rFonts w:hint="eastAsia" w:ascii="Times New Roman" w:hAnsi="Times New Roman" w:eastAsia="方正仿宋_GBK" w:cs="Times New Roman"/>
          <w:color w:val="000000"/>
          <w:kern w:val="0"/>
          <w:sz w:val="28"/>
          <w:szCs w:val="24"/>
          <w:lang w:eastAsia="uk-UA"/>
        </w:rPr>
        <w:t>和日常公用经费10.35</w:t>
      </w:r>
      <w:r>
        <w:rPr>
          <w:rFonts w:ascii="Times New Roman" w:hAnsi="Times New Roman" w:eastAsia="方正仿宋_GBK" w:cs="Times New Roman"/>
          <w:color w:val="000000"/>
          <w:kern w:val="0"/>
          <w:sz w:val="28"/>
          <w:szCs w:val="24"/>
          <w:lang w:eastAsia="uk-UA"/>
        </w:rPr>
        <w:t>万元</w:t>
      </w:r>
      <w:r>
        <w:rPr>
          <w:rFonts w:hint="eastAsia" w:ascii="Times New Roman" w:hAnsi="Times New Roman" w:eastAsia="方正仿宋_GBK" w:cs="Times New Roman"/>
          <w:color w:val="000000"/>
          <w:kern w:val="0"/>
          <w:sz w:val="28"/>
          <w:szCs w:val="24"/>
          <w:lang w:eastAsia="uk-UA"/>
        </w:rPr>
        <w:t>；项目支出115.96万元，主要为</w:t>
      </w:r>
      <w:r>
        <w:rPr>
          <w:rFonts w:ascii="Times New Roman" w:hAnsi="Times New Roman" w:eastAsia="方正仿宋_GBK" w:cs="Times New Roman"/>
          <w:color w:val="000000"/>
          <w:kern w:val="0"/>
          <w:sz w:val="28"/>
          <w:szCs w:val="24"/>
          <w:lang w:eastAsia="uk-UA"/>
        </w:rPr>
        <w:t>城乡义务教育补助生均经费本级配套资金</w:t>
      </w:r>
      <w:r>
        <w:rPr>
          <w:rFonts w:hint="eastAsia" w:ascii="Times New Roman" w:hAnsi="Times New Roman" w:eastAsia="方正仿宋_GBK" w:cs="Times New Roman"/>
          <w:color w:val="000000"/>
          <w:kern w:val="0"/>
          <w:sz w:val="28"/>
          <w:szCs w:val="24"/>
          <w:lang w:eastAsia="uk-UA"/>
        </w:rPr>
        <w:t>、</w:t>
      </w:r>
      <w:r>
        <w:rPr>
          <w:rFonts w:ascii="Times New Roman" w:hAnsi="Times New Roman" w:eastAsia="方正仿宋_GBK" w:cs="Times New Roman"/>
          <w:color w:val="000000"/>
          <w:kern w:val="0"/>
          <w:sz w:val="28"/>
          <w:szCs w:val="24"/>
          <w:lang w:eastAsia="uk-UA"/>
        </w:rPr>
        <w:t>关于提前下达2022年城乡义务教育省级补助资金预算的通知(公用经费)(冀财教[2021]168号)</w:t>
      </w:r>
      <w:r>
        <w:rPr>
          <w:rFonts w:hint="eastAsia" w:ascii="Times New Roman" w:hAnsi="Times New Roman" w:eastAsia="方正仿宋_GBK" w:cs="Times New Roman"/>
          <w:color w:val="000000"/>
          <w:kern w:val="0"/>
          <w:sz w:val="28"/>
          <w:szCs w:val="24"/>
          <w:lang w:eastAsia="uk-UA"/>
        </w:rPr>
        <w:t>等。</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38"/>
        <w:rPr>
          <w:color w:val="000000"/>
        </w:rPr>
      </w:pPr>
      <w:r>
        <w:rPr>
          <w:rFonts w:hint="eastAsia"/>
          <w:color w:val="000000"/>
        </w:rPr>
        <w:t>20</w:t>
      </w:r>
      <w:r>
        <w:rPr>
          <w:color w:val="000000"/>
        </w:rPr>
        <w:t>2</w:t>
      </w:r>
      <w:r>
        <w:rPr>
          <w:rFonts w:hint="eastAsia"/>
          <w:color w:val="000000"/>
        </w:rPr>
        <w:t>2年预算收支安排</w:t>
      </w:r>
      <w:r>
        <w:rPr>
          <w:rFonts w:hint="eastAsia" w:asciiTheme="minorEastAsia" w:hAnsiTheme="minorEastAsia" w:eastAsiaTheme="minorEastAsia"/>
          <w:color w:val="000000"/>
          <w:lang w:eastAsia="zh-CN"/>
        </w:rPr>
        <w:t>651.48</w:t>
      </w:r>
      <w:r>
        <w:rPr>
          <w:rFonts w:hint="eastAsia"/>
          <w:color w:val="000000"/>
        </w:rPr>
        <w:t>万元，较2021年预算增加</w:t>
      </w:r>
      <w:r>
        <w:rPr>
          <w:rFonts w:hint="eastAsia" w:asciiTheme="minorEastAsia" w:hAnsiTheme="minorEastAsia" w:eastAsiaTheme="minorEastAsia"/>
          <w:color w:val="000000"/>
          <w:lang w:eastAsia="zh-CN"/>
        </w:rPr>
        <w:t>81.58</w:t>
      </w:r>
      <w:r>
        <w:rPr>
          <w:rFonts w:hint="eastAsia"/>
          <w:color w:val="000000"/>
        </w:rPr>
        <w:t>万元，其中：基本支出减少</w:t>
      </w:r>
      <w:r>
        <w:rPr>
          <w:rFonts w:hint="eastAsia" w:asciiTheme="minorEastAsia" w:hAnsiTheme="minorEastAsia" w:eastAsiaTheme="minorEastAsia"/>
          <w:color w:val="000000"/>
          <w:lang w:eastAsia="zh-CN"/>
        </w:rPr>
        <w:t>34.38</w:t>
      </w:r>
      <w:r>
        <w:rPr>
          <w:rFonts w:hint="eastAsia"/>
          <w:color w:val="000000"/>
        </w:rPr>
        <w:t>万元，主要为减少人员经费支出；项目支出增加</w:t>
      </w:r>
      <w:r>
        <w:rPr>
          <w:rFonts w:hint="eastAsia" w:asciiTheme="minorEastAsia" w:hAnsiTheme="minorEastAsia" w:eastAsiaTheme="minorEastAsia"/>
          <w:color w:val="000000"/>
          <w:lang w:eastAsia="zh-CN"/>
        </w:rPr>
        <w:t>115.96</w:t>
      </w:r>
      <w:r>
        <w:rPr>
          <w:rFonts w:hint="eastAsia"/>
          <w:color w:val="000000"/>
        </w:rPr>
        <w:t>万元，主要为增加</w:t>
      </w:r>
      <w:r>
        <w:rPr>
          <w:color w:val="000000"/>
        </w:rPr>
        <w:t>关于提前下达2022年城乡义务教育中央补助经费预算(直达资金)的通知(公用经费)(冀财教[2021]130号 )</w:t>
      </w:r>
      <w:r>
        <w:rPr>
          <w:rFonts w:hint="eastAsia" w:asciiTheme="minorEastAsia" w:hAnsiTheme="minorEastAsia" w:eastAsiaTheme="minorEastAsia"/>
          <w:color w:val="000000"/>
          <w:lang w:eastAsia="zh-CN"/>
        </w:rPr>
        <w:t>45</w:t>
      </w:r>
      <w:r>
        <w:rPr>
          <w:rFonts w:hint="eastAsia"/>
          <w:color w:val="000000"/>
        </w:rPr>
        <w:t>万元，</w:t>
      </w:r>
      <w:r>
        <w:rPr>
          <w:color w:val="000000"/>
        </w:rPr>
        <w:t>关于提前下达2022年城乡义务教育省级补助资金预算的通知(公用经费)(冀财教[2021]168号)</w:t>
      </w:r>
      <w:r>
        <w:rPr>
          <w:rFonts w:hint="eastAsia" w:asciiTheme="minorEastAsia" w:hAnsiTheme="minorEastAsia" w:eastAsiaTheme="minorEastAsia"/>
          <w:color w:val="000000"/>
          <w:lang w:eastAsia="zh-CN"/>
        </w:rPr>
        <w:t>22.14</w:t>
      </w:r>
      <w:r>
        <w:rPr>
          <w:rFonts w:hint="eastAsia"/>
          <w:color w:val="000000"/>
        </w:rPr>
        <w:t>万元，</w:t>
      </w:r>
      <w:r>
        <w:rPr>
          <w:color w:val="000000"/>
        </w:rPr>
        <w:t>城乡义务教育补助生均经费本级配套资金</w:t>
      </w:r>
      <w:r>
        <w:rPr>
          <w:rFonts w:hint="eastAsia"/>
          <w:color w:val="000000"/>
        </w:rPr>
        <w:t>1.</w:t>
      </w:r>
      <w:r>
        <w:rPr>
          <w:rFonts w:hint="eastAsia" w:asciiTheme="minorEastAsia" w:hAnsiTheme="minorEastAsia" w:eastAsiaTheme="minorEastAsia"/>
          <w:color w:val="000000"/>
          <w:lang w:eastAsia="zh-CN"/>
        </w:rPr>
        <w:t>73</w:t>
      </w:r>
      <w:r>
        <w:rPr>
          <w:rFonts w:hint="eastAsia"/>
          <w:color w:val="000000"/>
        </w:rPr>
        <w:t>万元</w:t>
      </w:r>
      <w:r>
        <w:rPr>
          <w:rFonts w:hint="eastAsia" w:asciiTheme="minorEastAsia" w:hAnsiTheme="minorEastAsia" w:eastAsiaTheme="minorEastAsia"/>
          <w:color w:val="000000"/>
          <w:lang w:eastAsia="zh-CN"/>
        </w:rPr>
        <w:t>、</w:t>
      </w:r>
      <w:r>
        <w:rPr>
          <w:color w:val="000000"/>
        </w:rPr>
        <w:t>学校校舍厕所改造项目工程资金</w:t>
      </w:r>
      <w:r>
        <w:rPr>
          <w:rFonts w:hint="eastAsia" w:asciiTheme="minorEastAsia" w:hAnsiTheme="minorEastAsia" w:eastAsiaTheme="minorEastAsia"/>
          <w:color w:val="000000"/>
          <w:lang w:eastAsia="zh-CN"/>
        </w:rPr>
        <w:t>37.29万元</w:t>
      </w:r>
      <w:r>
        <w:rPr>
          <w:rFonts w:hint="eastAsia"/>
          <w:color w:val="000000"/>
        </w:rPr>
        <w:t>等</w:t>
      </w:r>
      <w:r>
        <w:rPr>
          <w:rFonts w:hint="eastAsia" w:asciiTheme="minorEastAsia" w:hAnsiTheme="minorEastAsia" w:eastAsiaTheme="minorEastAsia"/>
          <w:color w:val="000000"/>
          <w:lang w:eastAsia="zh-CN"/>
        </w:rPr>
        <w:t>。</w:t>
      </w: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2022年，我单位运行经费共计安排10.35万元，主要用于办公费、工会经费、福利费等日常运行支出。</w:t>
      </w:r>
    </w:p>
    <w:p>
      <w:pPr>
        <w:pStyle w:val="39"/>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64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0万元，其中：因公出国（境）费0万元；公务用车购置及运维费0万元（其中：公务用车购置费0万元，公务用车运行维护费0万元)；公务接待费0万元，较2021年“三公”经费减少0万元，</w:t>
      </w:r>
      <w:bookmarkStart w:id="0" w:name="_Hlk507422617"/>
      <w:r>
        <w:rPr>
          <w:rFonts w:hint="eastAsia" w:eastAsia="方正仿宋_GBK"/>
          <w:color w:val="000000"/>
          <w:sz w:val="28"/>
        </w:rPr>
        <w:t>与2021年持平，无增减变化。</w:t>
      </w:r>
      <w:bookmarkEnd w:id="0"/>
    </w:p>
    <w:p>
      <w:pPr>
        <w:pStyle w:val="40"/>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≥937人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≥937人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≥937人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4人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≥70人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≤9.8万元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bookmarkStart w:id="1" w:name="_Hlk97543556"/>
      <w:r>
        <w:rPr>
          <w:rFonts w:ascii="方正仿宋_GBK" w:hAnsi="方正仿宋_GBK" w:eastAsia="方正仿宋_GBK" w:cs="方正仿宋_GBK"/>
          <w:b/>
          <w:color w:val="000000"/>
          <w:sz w:val="28"/>
        </w:rPr>
        <w:t>学校校舍厕所改造项目工程资金</w:t>
      </w:r>
      <w:bookmarkEnd w:id="1"/>
      <w:r>
        <w:rPr>
          <w:rFonts w:ascii="方正仿宋_GBK" w:hAnsi="方正仿宋_GBK" w:eastAsia="方正仿宋_GBK" w:cs="方正仿宋_GBK"/>
          <w:b/>
          <w:color w:val="000000"/>
          <w:sz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133.05平方米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局部改善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2022年，霸州市王庄子乡王圪垯村完全小学安排政府采购预算0.00万元。具体内容见下表。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501561霸州市王庄子乡王圪垯村完全小学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霸州市王庄子乡王圪垯村完全小学上年末固定资产金额为</w:t>
      </w:r>
      <w:r>
        <w:rPr>
          <w:rFonts w:hint="eastAsia" w:asciiTheme="minorEastAsia" w:hAnsiTheme="minorEastAsia"/>
          <w:color w:val="000000"/>
          <w:sz w:val="28"/>
        </w:rPr>
        <w:t>284.94</w:t>
      </w:r>
      <w:r>
        <w:rPr>
          <w:rFonts w:eastAsia="方正仿宋_GBK"/>
          <w:color w:val="000000"/>
          <w:sz w:val="28"/>
        </w:rPr>
        <w:t>万元（详见下表）。本年度拟购置固定资产总额为0.00万元，已按要求列入政府采购预算，详见政府采购预算表。</w:t>
      </w:r>
    </w:p>
    <w:tbl>
      <w:tblPr>
        <w:tblStyle w:val="1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霸州市王庄子乡王圪垯村完全小学单位固定资产占用情况表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编制部门：501561霸州市王庄子乡王圪垯村完全小学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8166</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284.94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8166</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284.94</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1704DB"/>
    <w:rsid w:val="001D127B"/>
    <w:rsid w:val="002758D2"/>
    <w:rsid w:val="002A032E"/>
    <w:rsid w:val="00304F0F"/>
    <w:rsid w:val="003D7AE5"/>
    <w:rsid w:val="004278B8"/>
    <w:rsid w:val="00482E75"/>
    <w:rsid w:val="00631F16"/>
    <w:rsid w:val="00715864"/>
    <w:rsid w:val="007E69C8"/>
    <w:rsid w:val="008E6437"/>
    <w:rsid w:val="009A7D34"/>
    <w:rsid w:val="00AF49AE"/>
    <w:rsid w:val="00BB6D66"/>
    <w:rsid w:val="00C2337F"/>
    <w:rsid w:val="00D928BD"/>
    <w:rsid w:val="00DE3F2D"/>
    <w:rsid w:val="00E6405C"/>
    <w:rsid w:val="00EF0BF4"/>
    <w:rsid w:val="00F00C94"/>
    <w:rsid w:val="00F3340B"/>
    <w:rsid w:val="00F916F8"/>
    <w:rsid w:val="00FF1811"/>
    <w:rsid w:val="46F343E3"/>
    <w:rsid w:val="7753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360" w:after="360"/>
      <w:jc w:val="left"/>
    </w:pPr>
    <w:rPr>
      <w:rFonts w:eastAsiaTheme="minorHAnsi"/>
      <w:b/>
      <w:bCs/>
      <w:caps/>
      <w:sz w:val="22"/>
      <w:u w:val="single"/>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7"/>
    <w:qFormat/>
    <w:uiPriority w:val="0"/>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1366</Words>
  <Characters>7788</Characters>
  <Lines>64</Lines>
  <Paragraphs>18</Paragraphs>
  <TotalTime>0</TotalTime>
  <ScaleCrop>false</ScaleCrop>
  <LinksUpToDate>false</LinksUpToDate>
  <CharactersWithSpaces>9136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B06A7DFEF35D48B994507915B552449F</vt:lpwstr>
  </property>
</Properties>
</file>